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harts/chart1.xml" ContentType="application/vnd.openxmlformats-officedocument.drawingml.chart+xml"/>
  <Override PartName="/word/embeddings/Microsoft_Excel_______.xlsx" ContentType="application/vnd.openxmlformats-officedocument.spreadsheetml.sheet"/>
  <Override PartName="/word/theme/themeOverride1.xml" ContentType="application/vnd.openxmlformats-officedocument.themeOverrid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6"/>
        </w:rPr>
      </w:pPr>
      <w:bookmarkStart w:id="0" w:name="_GoBack"/>
      <w:bookmarkEnd w:id="0"/>
      <w:r>
        <w:rPr>
          <w:rFonts w:hint="eastAsia"/>
          <w:b w:val="1"/>
          <w:sz w:val="36"/>
        </w:rPr>
        <w:t>地域医療福祉連携室</w:t>
      </w:r>
    </w:p>
    <w:p>
      <w:pPr>
        <w:pStyle w:val="0"/>
        <w:rPr>
          <w:rFonts w:hint="default"/>
        </w:rPr>
      </w:pPr>
    </w:p>
    <w:p>
      <w:pPr>
        <w:pStyle w:val="0"/>
        <w:rPr>
          <w:rFonts w:hint="default"/>
          <w:sz w:val="24"/>
        </w:rPr>
      </w:pPr>
      <w:r>
        <w:rPr>
          <w:rFonts w:hint="eastAsia"/>
          <w:sz w:val="24"/>
        </w:rPr>
        <w:t>　地域医療福祉連携室では、地域の病院・医院・介護施設・福祉施設や行政機関など異なる機関との連携窓口として、患者さんに切れ目のない医療・看護・介護サービスが提供できるよう支援・調整を行っております。</w:t>
      </w:r>
    </w:p>
    <w:p>
      <w:pPr>
        <w:pStyle w:val="0"/>
        <w:rPr>
          <w:rFonts w:hint="default"/>
          <w:sz w:val="24"/>
        </w:rPr>
      </w:pPr>
      <w:r>
        <w:rPr>
          <w:rFonts w:hint="eastAsia"/>
          <w:sz w:val="24"/>
        </w:rPr>
        <w:t>　地域医療福祉連携室は、看護師２名、医療社会事業士１名及び会計年度任用職員１名が専任で業務にあたっています。</w:t>
      </w:r>
    </w:p>
    <w:p>
      <w:pPr>
        <w:pStyle w:val="0"/>
        <w:rPr>
          <w:rFonts w:hint="default"/>
          <w:sz w:val="24"/>
        </w:rPr>
      </w:pPr>
      <w:r>
        <w:rPr>
          <w:rFonts w:hint="eastAsia"/>
          <w:sz w:val="24"/>
        </w:rPr>
        <w:t>　当室の活動は、毎月開催している地域医療福祉連携室会議において、紹介患者等の状況を集計して資料を提示しています。また、病棟スタッフとのカンファレンスへの参加および各外来診療科とも連絡を密に取り、入退院の調整に取り組んでおります。地域包括ケア病床への入退院についても積極的に関わっており、患者さんの情報を元に退院先の調整等を行っております。</w:t>
      </w:r>
    </w:p>
    <w:p>
      <w:pPr>
        <w:pStyle w:val="0"/>
        <w:rPr>
          <w:rFonts w:hint="default"/>
          <w:sz w:val="24"/>
        </w:rPr>
      </w:pPr>
      <w:r>
        <w:rPr>
          <w:rFonts w:hint="eastAsia"/>
          <w:sz w:val="24"/>
        </w:rPr>
        <w:t>　地域医療福祉連携室会議において、地域住民に医療情報を発信していく役割として、「市民健康公開講座」を企画・開催、「奥州市江刺地域医療福祉連携懇話会研修会」を開催しています。令和６年度は「市民健康公開講座」を２回（</w:t>
      </w:r>
      <w:r>
        <w:rPr>
          <w:rFonts w:hint="eastAsia"/>
          <w:sz w:val="24"/>
        </w:rPr>
        <w:t>148</w:t>
      </w:r>
      <w:r>
        <w:rPr>
          <w:rFonts w:hint="eastAsia"/>
          <w:sz w:val="24"/>
        </w:rPr>
        <w:t>名参加）、「奥州市江刺地域医療福祉連携懇話会研修会」を４回（</w:t>
      </w:r>
      <w:r>
        <w:rPr>
          <w:rFonts w:hint="eastAsia"/>
          <w:sz w:val="24"/>
        </w:rPr>
        <w:t>317</w:t>
      </w:r>
      <w:r>
        <w:rPr>
          <w:rFonts w:hint="eastAsia"/>
          <w:sz w:val="24"/>
        </w:rPr>
        <w:t>名参加）開催しました。</w:t>
      </w:r>
    </w:p>
    <w:p>
      <w:pPr>
        <w:pStyle w:val="0"/>
        <w:ind w:firstLine="249" w:firstLineChars="100"/>
        <w:rPr>
          <w:rFonts w:hint="default"/>
          <w:sz w:val="24"/>
        </w:rPr>
      </w:pPr>
      <w:r>
        <w:rPr>
          <w:rFonts w:hint="eastAsia"/>
          <w:sz w:val="24"/>
        </w:rPr>
        <w:t>当室は限られたマンパワーですが、医療機関や関係施設と連携して退院調整の強化、医療相談体制の充実、紹介・逆紹介の推進などの業務を行い、江刺地域唯一の病院としてできること、期待されていることについて取組んでいくこととしています。</w:t>
      </w:r>
    </w:p>
    <w:p>
      <w:pPr>
        <w:pStyle w:val="0"/>
        <w:rPr>
          <w:rFonts w:hint="default"/>
          <w:sz w:val="24"/>
        </w:rPr>
      </w:pPr>
    </w:p>
    <w:p>
      <w:pPr>
        <w:pStyle w:val="0"/>
        <w:rPr>
          <w:rFonts w:hint="default"/>
          <w:sz w:val="24"/>
        </w:rPr>
      </w:pPr>
    </w:p>
    <w:p>
      <w:pPr>
        <w:pStyle w:val="0"/>
        <w:rPr>
          <w:rFonts w:hint="default"/>
          <w:sz w:val="24"/>
        </w:rPr>
      </w:pPr>
      <w:r>
        <w:rPr>
          <w:rFonts w:hint="eastAsia"/>
        </w:rPr>
        <w:drawing>
          <wp:anchor distT="0" distB="0" distL="108000" distR="108000" simplePos="0" relativeHeight="2" behindDoc="0" locked="0" layoutInCell="1" hidden="0" allowOverlap="1">
            <wp:simplePos x="0" y="0"/>
            <wp:positionH relativeFrom="margin">
              <wp:align>center</wp:align>
            </wp:positionH>
            <wp:positionV relativeFrom="paragraph">
              <wp:posOffset>0</wp:posOffset>
            </wp:positionV>
            <wp:extent cx="5567045" cy="3442970"/>
            <wp:effectExtent l="0" t="0" r="0" b="0"/>
            <wp:wrapSquare wrapText="bothSides"/>
            <wp:docPr id="1026" name="オブジェクト 0"/>
            <a:graphic xmlns:a="http://schemas.openxmlformats.org/drawingml/2006/main">
              <a:graphicData uri="http://schemas.openxmlformats.org/drawingml/2006/chart">
                <c:chart xmlns:c="http://schemas.openxmlformats.org/drawingml/2006/chart" r:id="rId5"/>
              </a:graphicData>
            </a:graphic>
          </wp:anchor>
        </w:drawing>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right"/>
        <w:rPr>
          <w:rFonts w:hint="default"/>
          <w:sz w:val="22"/>
        </w:rPr>
      </w:pPr>
      <w:r>
        <w:rPr>
          <w:rFonts w:hint="eastAsia"/>
          <w:sz w:val="24"/>
        </w:rPr>
        <w:t>（文責　千田　悟）</w:t>
      </w:r>
    </w:p>
    <w:sectPr>
      <w:pgSz w:w="11906" w:h="16838"/>
      <w:pgMar w:top="1134" w:right="1021" w:bottom="1021" w:left="1021" w:header="851" w:footer="992" w:gutter="0"/>
      <w:cols w:space="720"/>
      <w:textDirection w:val="lrTb"/>
      <w:docGrid w:type="linesAndChars" w:linePitch="341" w:charSpace="188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chart" Target="charts/chart1.xml" /><Relationship Id="rId6" Type="http://schemas.microsoft.com/office/2011/relationships/commentsExtended" Target="commentsExtended.xml" /></Relationships>
</file>

<file path=word/charts/_rels/chart1.xml.rels><?xml version="1.0" encoding="UTF-8"?><Relationships xmlns="http://schemas.openxmlformats.org/package/2006/relationships"><Relationship Id="rId1" Type="http://schemas.openxmlformats.org/officeDocument/2006/relationships/package" Target="../embeddings/Microsoft_Excel_______.xlsx" /><Relationship Id="rId2" Type="http://schemas.openxmlformats.org/officeDocument/2006/relationships/themeOverride" Target="../theme/themeOverride1.xml" /></Relationships>
</file>

<file path=word/charts/chart1.xml><?xml version="1.0" encoding="utf-8"?>
<c:chartSpace xmlns:a="http://schemas.openxmlformats.org/drawingml/2006/main" xmlns:r="http://schemas.openxmlformats.org/officeDocument/2006/relationships" xmlns:c="http://schemas.openxmlformats.org/drawingml/20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horzOverflow="overflow" anchor="ctr" anchorCtr="1"/>
          <a:lstStyle/>
          <a:p>
            <a:pPr algn="ctr" rtl="0">
              <a:defRPr sz="1200" i="0" u="none" strike="noStrike" baseline="0">
                <a:solidFill>
                  <a:schemeClr val="tx1"/>
                </a:solidFill>
              </a:defRPr>
            </a:pPr>
            <a:r>
              <a:rPr kumimoji="0" lang="ja-JP" altLang="en-US" sz="1800" b="1" i="0" u="none" strike="noStrike" kern="1200" baseline="0">
                <a:solidFill>
                  <a:schemeClr val="tx1"/>
                </a:solidFill>
                <a:ea typeface="+mj-ea"/>
              </a:rPr>
              <a:t>訪問診療年度別推移</a:t>
            </a:r>
            <a:endParaRPr lang="ja-JP" altLang="en-US" sz="1200" b="1" i="0" u="none" strike="noStrike" baseline="0">
              <a:solidFill>
                <a:schemeClr val="tx1"/>
              </a:solidFill>
            </a:endParaRPr>
          </a:p>
        </c:rich>
      </c:tx>
      <c:layout/>
      <c:overlay val="0"/>
    </c:title>
    <c:autoTitleDeleted val="0"/>
    <c:plotArea>
      <c:layout/>
      <c:barChart>
        <c:barDir val="col"/>
        <c:grouping val="stacked"/>
        <c:varyColors val="0"/>
        <c:ser>
          <c:idx val="0"/>
          <c:order val="0"/>
          <c:tx>
            <c:strRef>
              <c:f>=Sheet1!$C$2</c:f>
              <c:strCache>
                <c:ptCount val="1"/>
                <c:pt idx="0">
                  <c:v>訪問診療</c:v>
                </c:pt>
              </c:strCache>
            </c:strRef>
          </c:tx>
          <c:spPr>
            <a:gradFill rotWithShape="1">
              <a:gsLst>
                <a:gs pos="0">
                  <a:schemeClr val="accent1">
                    <a:shade val="15000"/>
                    <a:satMod val="180000"/>
                  </a:schemeClr>
                </a:gs>
                <a:gs pos="50000">
                  <a:schemeClr val="accent1">
                    <a:shade val="45000"/>
                    <a:satMod val="170000"/>
                  </a:schemeClr>
                </a:gs>
                <a:gs pos="70000">
                  <a:schemeClr val="accent1">
                    <a:tint val="99000"/>
                    <a:shade val="65000"/>
                    <a:satMod val="155000"/>
                  </a:schemeClr>
                </a:gs>
                <a:gs pos="100000">
                  <a:schemeClr val="accent1">
                    <a:tint val="95500"/>
                    <a:satMod val="155000"/>
                  </a:schemeClr>
                </a:gs>
              </a:gsLst>
              <a:lin ang="16200000" scaled="0"/>
              <a:tileRect/>
            </a:gradFill>
            <a:ln>
              <a:noFill/>
            </a:ln>
            <a:effectLst>
              <a:outerShdw blurRad="63500" dist="38100" dir="5400000" rotWithShape="0">
                <a:srgbClr val="000000">
                  <a:alpha val="45000"/>
                </a:srgbClr>
              </a:outerShdw>
            </a:effectLst>
            <a:scene3d>
              <a:camera prst="orthographicFront"/>
              <a:lightRig rig="glow" dir="t">
                <a:rot lat="0" lon="0" rev="6360000"/>
              </a:lightRig>
            </a:scene3d>
            <a:sp3d contourW="1000" prstMaterial="flat">
              <a:bevelT w="95250" h="101600"/>
              <a:contourClr>
                <a:srgbClr val="000000">
                  <a:satMod val="300000"/>
                </a:srgbClr>
              </a:contourClr>
            </a:sp3d>
          </c:spPr>
          <c:invertIfNegative val="0"/>
          <c:cat>
            <c:strRef>
              <c:f>=Sheet1!$B$5:$B$11</c:f>
              <c:strCache>
                <c:ptCount val="7"/>
                <c:pt idx="0">
                  <c:v>R01</c:v>
                </c:pt>
                <c:pt idx="1">
                  <c:v>R02</c:v>
                </c:pt>
                <c:pt idx="2">
                  <c:v>R03</c:v>
                </c:pt>
                <c:pt idx="3">
                  <c:v>R04</c:v>
                </c:pt>
                <c:pt idx="4">
                  <c:v>R05</c:v>
                </c:pt>
                <c:pt idx="5">
                  <c:v>R06</c:v>
                </c:pt>
                <c:pt idx="6">
                  <c:v>R07</c:v>
                </c:pt>
              </c:strCache>
            </c:strRef>
          </c:cat>
          <c:val>
            <c:numRef>
              <c:f>=Sheet1!$C$5:$C$11</c:f>
              <c:numCache>
                <c:formatCode>General</c:formatCode>
                <c:ptCount val="7"/>
                <c:pt idx="0">
                  <c:v>196</c:v>
                </c:pt>
                <c:pt idx="1">
                  <c:v>222</c:v>
                </c:pt>
                <c:pt idx="2">
                  <c:v>202</c:v>
                </c:pt>
                <c:pt idx="3">
                  <c:v>185</c:v>
                </c:pt>
                <c:pt idx="4">
                  <c:v>189</c:v>
                </c:pt>
                <c:pt idx="5">
                  <c:v>294</c:v>
                </c:pt>
                <c:pt idx="6">
                  <c:v>235</c:v>
                </c:pt>
              </c:numCache>
            </c:numRef>
          </c:val>
        </c:ser>
        <c:ser>
          <c:idx val="1"/>
          <c:order val="1"/>
          <c:tx>
            <c:strRef>
              <c:f>=Sheet1!$D$2</c:f>
              <c:strCache>
                <c:ptCount val="1"/>
                <c:pt idx="0">
                  <c:v>往診</c:v>
                </c:pt>
              </c:strCache>
            </c:strRef>
          </c:tx>
          <c:spPr>
            <a:solidFill>
              <a:srgbClr val="FFC000"/>
            </a:solidFill>
            <a:ln>
              <a:noFill/>
            </a:ln>
            <a:effectLst>
              <a:outerShdw blurRad="63500" dist="38100" dir="5400000" rotWithShape="0">
                <a:srgbClr val="000000">
                  <a:alpha val="45000"/>
                </a:srgbClr>
              </a:outerShdw>
            </a:effectLst>
            <a:scene3d>
              <a:camera prst="orthographicFront"/>
              <a:lightRig rig="glow" dir="t">
                <a:rot lat="0" lon="0" rev="6360000"/>
              </a:lightRig>
            </a:scene3d>
            <a:sp3d contourW="1000" prstMaterial="flat">
              <a:bevelT w="95250" h="101600"/>
              <a:contourClr>
                <a:srgbClr val="000000">
                  <a:satMod val="300000"/>
                </a:srgbClr>
              </a:contourClr>
            </a:sp3d>
          </c:spPr>
          <c:invertIfNegative val="0"/>
          <c:cat>
            <c:strRef>
              <c:f>=Sheet1!$B$5:$B$11</c:f>
              <c:strCache>
                <c:ptCount val="7"/>
                <c:pt idx="0">
                  <c:v>R01</c:v>
                </c:pt>
                <c:pt idx="1">
                  <c:v>R02</c:v>
                </c:pt>
                <c:pt idx="2">
                  <c:v>R03</c:v>
                </c:pt>
                <c:pt idx="3">
                  <c:v>R04</c:v>
                </c:pt>
                <c:pt idx="4">
                  <c:v>R05</c:v>
                </c:pt>
                <c:pt idx="5">
                  <c:v>R06</c:v>
                </c:pt>
                <c:pt idx="6">
                  <c:v>R07</c:v>
                </c:pt>
              </c:strCache>
            </c:strRef>
          </c:cat>
          <c:val>
            <c:numRef>
              <c:f>=Sheet1!$D$5:$D$11</c:f>
              <c:numCache>
                <c:formatCode>General</c:formatCode>
                <c:ptCount val="7"/>
                <c:pt idx="0">
                  <c:v>9</c:v>
                </c:pt>
                <c:pt idx="1">
                  <c:v>16</c:v>
                </c:pt>
                <c:pt idx="2">
                  <c:v>24</c:v>
                </c:pt>
                <c:pt idx="3">
                  <c:v>34</c:v>
                </c:pt>
                <c:pt idx="4">
                  <c:v>26</c:v>
                </c:pt>
                <c:pt idx="5">
                  <c:v>51</c:v>
                </c:pt>
                <c:pt idx="6">
                  <c:v>29</c:v>
                </c:pt>
              </c:numCache>
            </c:numRef>
          </c:val>
        </c:ser>
        <c:dLbls>
          <c:txPr>
            <a:bodyPr rot="0" horzOverflow="overflow" anchor="ctr" anchorCtr="1">
              <a:spAutoFit/>
            </a:bodyPr>
            <a:lstStyle/>
            <a:p>
              <a:pPr algn="ctr" rtl="0">
                <a:defRPr sz="1000">
                  <a:solidFill>
                    <a:schemeClr val="tx1"/>
                  </a:solidFill>
                </a:defRPr>
              </a:pPr>
              <a:endParaRPr lang="ja-JP" altLang="en-US"/>
            </a:p>
          </c:txPr>
          <c:showLegendKey val="0"/>
          <c:showVal val="0"/>
          <c:showCatName val="0"/>
          <c:showSerName val="0"/>
          <c:showPercent val="0"/>
          <c:showBubbleSize val="0"/>
        </c:dLbls>
        <c:gapWidth val="75"/>
        <c:overlap val="100"/>
        <c:axId val="1"/>
        <c:axId val="2"/>
      </c:barChart>
      <c:lineChart>
        <c:grouping val="standard"/>
        <c:varyColors val="0"/>
        <c:ser>
          <c:idx val="2"/>
          <c:order val="2"/>
          <c:tx>
            <c:strRef>
              <c:f>=Sheet1!$E$2</c:f>
              <c:strCache>
                <c:ptCount val="1"/>
                <c:pt idx="0">
                  <c:v>看取り</c:v>
                </c:pt>
              </c:strCache>
            </c:strRef>
          </c:tx>
          <c:spPr>
            <a:ln w="63500" cap="rnd" cmpd="sng">
              <a:solidFill>
                <a:srgbClr val="92D050"/>
              </a:solidFill>
              <a:round/>
              <a:headEnd type="none"/>
            </a:ln>
            <a:effectLst>
              <a:outerShdw blurRad="63500" dist="38100" dir="5400000" rotWithShape="0">
                <a:srgbClr val="000000">
                  <a:alpha val="45000"/>
                </a:srgbClr>
              </a:outerShdw>
            </a:effectLst>
          </c:spPr>
          <c:marker>
            <c:symbol val="triangle"/>
            <c:size val="18"/>
            <c:spPr>
              <a:solidFill>
                <a:srgbClr val="92D050"/>
              </a:solidFill>
              <a:ln w="9525">
                <a:noFill/>
                <a:round/>
              </a:ln>
              <a:effectLst>
                <a:outerShdw blurRad="63500" dist="38100" dir="5400000" rotWithShape="0">
                  <a:srgbClr val="000000">
                    <a:alpha val="45000"/>
                  </a:srgbClr>
                </a:outerShdw>
              </a:effectLst>
              <a:scene3d>
                <a:camera prst="orthographicFront"/>
                <a:lightRig rig="threePt" dir="t"/>
              </a:scene3d>
            </c:spPr>
          </c:marker>
          <c:dLbls>
            <c:showLegendKey val="0"/>
            <c:showVal val="0"/>
            <c:showCatName val="0"/>
            <c:showSerName val="0"/>
            <c:showPercent val="0"/>
            <c:showBubbleSize val="0"/>
            <c:extLst>
              <c:ext xmlns:c15="http://schemas.microsoft.com/office/drawing/2012/chart" uri="{CE6537A1-D6FC-4f65-9D91-7224C49458BB}">
                <c15:showLeaderLines val="1"/>
                <c15:leaderLines/>
              </c:ext>
            </c:extLst>
          </c:dLbls>
          <c:cat>
            <c:strRef>
              <c:f>=Sheet1!$B$5:$B$11</c:f>
              <c:strCache>
                <c:ptCount val="7"/>
                <c:pt idx="0">
                  <c:v>R01</c:v>
                </c:pt>
                <c:pt idx="1">
                  <c:v>R02</c:v>
                </c:pt>
                <c:pt idx="2">
                  <c:v>R03</c:v>
                </c:pt>
                <c:pt idx="3">
                  <c:v>R04</c:v>
                </c:pt>
                <c:pt idx="4">
                  <c:v>R05</c:v>
                </c:pt>
                <c:pt idx="5">
                  <c:v>R06</c:v>
                </c:pt>
                <c:pt idx="6">
                  <c:v>R07</c:v>
                </c:pt>
              </c:strCache>
            </c:strRef>
          </c:cat>
          <c:val>
            <c:numRef>
              <c:f>=Sheet1!$E$5:$E$11</c:f>
              <c:numCache>
                <c:formatCode>General</c:formatCode>
                <c:ptCount val="7"/>
                <c:pt idx="0">
                  <c:v>9</c:v>
                </c:pt>
                <c:pt idx="1">
                  <c:v>16</c:v>
                </c:pt>
                <c:pt idx="2">
                  <c:v>24</c:v>
                </c:pt>
                <c:pt idx="3">
                  <c:v>25</c:v>
                </c:pt>
                <c:pt idx="4">
                  <c:v>23</c:v>
                </c:pt>
                <c:pt idx="5">
                  <c:v>18</c:v>
                </c:pt>
                <c:pt idx="6">
                  <c:v>11</c:v>
                </c:pt>
              </c:numCache>
            </c:numRef>
          </c:val>
          <c:smooth val="0"/>
        </c:ser>
        <c:dLbls>
          <c:txPr>
            <a:bodyPr rot="0" horzOverflow="overflow" anchor="ctr" anchorCtr="1">
              <a:spAutoFit/>
            </a:bodyPr>
            <a:lstStyle/>
            <a:p>
              <a:pPr algn="ctr" rtl="0">
                <a:defRPr sz="1000">
                  <a:solidFill>
                    <a:schemeClr val="tx1"/>
                  </a:solidFill>
                </a:defRPr>
              </a:pPr>
              <a:endParaRPr lang="ja-JP" altLang="en-US"/>
            </a:p>
          </c:txPr>
          <c:showLegendKey val="0"/>
          <c:showVal val="0"/>
          <c:showCatName val="0"/>
          <c:showSerName val="0"/>
          <c:showPercent val="0"/>
          <c:showBubbleSize val="0"/>
        </c:dLbls>
        <c:marker val="1"/>
        <c:smooth val="0"/>
        <c:axId val="11"/>
        <c:axId val="12"/>
      </c:lineChart>
      <c:catAx>
        <c:axId val="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horzOverflow="overflow" wrap="square" anchor="ctr" anchorCtr="1"/>
          <a:lstStyle/>
          <a:p>
            <a:pPr algn="ctr" rtl="0">
              <a:defRPr sz="1200" b="1" i="0" u="none" strike="noStrike" kern="1200" baseline="0">
                <a:solidFill>
                  <a:schemeClr val="tx1">
                    <a:lumMod val="65000"/>
                    <a:lumOff val="35000"/>
                  </a:schemeClr>
                </a:solidFill>
                <a:latin typeface="+mn-lt"/>
                <a:ea typeface="+mn-ea"/>
                <a:cs typeface="+mn-cs"/>
              </a:defRPr>
            </a:pPr>
            <a:endParaRPr lang="ja-JP" altLang="en-US"/>
          </a:p>
        </c:txPr>
        <c:crossAx val="2"/>
        <c:crosses val="autoZero"/>
        <c:auto val="1"/>
        <c:lblAlgn val="ctr"/>
        <c:lblOffset val="100"/>
        <c:noMultiLvlLbl val="0"/>
      </c:catAx>
      <c:valAx>
        <c:axId val="2"/>
        <c:scaling>
          <c:orientation val="minMax"/>
        </c:scaling>
        <c:delete val="0"/>
        <c:axPos val="l"/>
        <c:majorGridlines>
          <c:spPr>
            <a:ln w="9525" cap="flat" cmpd="sng" algn="ctr">
              <a:solidFill>
                <a:schemeClr val="tx1">
                  <a:lumMod val="15000"/>
                  <a:lumOff val="85000"/>
                </a:schemeClr>
              </a:solidFill>
              <a:round/>
            </a:ln>
            <a:effectLst/>
          </c:spPr>
        </c:majorGridlines>
        <c:title>
          <c:tx>
            <c:rich>
              <a:bodyPr horzOverflow="overflow" vert="eaVert" wrap="square" anchor="ctr" anchorCtr="1"/>
              <a:lstStyle/>
              <a:p>
                <a:pPr algn="ctr" rtl="0">
                  <a:defRPr kumimoji="0" sz="1400" b="0" i="0" u="none" strike="noStrike" kern="1200" baseline="0">
                    <a:solidFill>
                      <a:schemeClr val="tx1">
                        <a:lumMod val="65000"/>
                        <a:lumOff val="35000"/>
                      </a:schemeClr>
                    </a:solidFill>
                    <a:latin typeface="+mn-lt"/>
                    <a:ea typeface="+mn-ea"/>
                    <a:cs typeface="+mn-cs"/>
                  </a:defRPr>
                </a:pPr>
                <a:r>
                  <a:rPr kumimoji="0" lang="ja-JP" altLang="en-US" sz="1400" b="0" i="0" u="none" strike="noStrike" kern="1200" baseline="0">
                    <a:solidFill>
                      <a:schemeClr val="tx1">
                        <a:lumMod val="65000"/>
                        <a:lumOff val="35000"/>
                      </a:schemeClr>
                    </a:solidFill>
                    <a:latin typeface="+mn-lt"/>
                    <a:ea typeface="+mj-ea"/>
                    <a:cs typeface="+mn-cs"/>
                  </a:rPr>
                  <a:t>訪問診療・往診</a:t>
                </a:r>
                <a:endParaRPr kumimoji="0" lang="ja-JP" altLang="en-US" sz="1400" b="0" i="0" u="none" strike="noStrike" kern="1200" baseline="0">
                  <a:solidFill>
                    <a:schemeClr val="tx1">
                      <a:lumMod val="65000"/>
                      <a:lumOff val="35000"/>
                    </a:schemeClr>
                  </a:solidFill>
                  <a:latin typeface="+mn-lt"/>
                  <a:ea typeface="+mn-ea"/>
                  <a:cs typeface="+mn-cs"/>
                </a:endParaRPr>
              </a:p>
            </c:rich>
          </c:tx>
          <c:layout>
            <c:manualLayout>
              <c:xMode val="edge"/>
              <c:yMode val="edge"/>
              <c:x val="2.0608599355672535e-002"/>
              <c:y val="0.19584660917754149"/>
            </c:manualLayout>
          </c:layout>
          <c:overlay val="0"/>
          <c:spPr>
            <a:noFill/>
            <a:ln>
              <a:noFill/>
            </a:ln>
            <a:effectLst/>
          </c:spPr>
        </c:title>
        <c:numFmt formatCode="General" sourceLinked="1"/>
        <c:majorTickMark val="none"/>
        <c:minorTickMark val="none"/>
        <c:tickLblPos val="nextTo"/>
        <c:spPr>
          <a:noFill/>
          <a:ln>
            <a:noFill/>
          </a:ln>
          <a:effectLst/>
        </c:spPr>
        <c:txPr>
          <a:bodyPr horzOverflow="overflow" wrap="square" anchor="ctr" anchorCtr="1"/>
          <a:lstStyle/>
          <a:p>
            <a:pPr algn="ctr" rtl="0">
              <a:defRPr sz="1200" b="1" i="0" u="none" strike="noStrike" kern="1200" baseline="0">
                <a:solidFill>
                  <a:schemeClr val="tx1">
                    <a:lumMod val="65000"/>
                    <a:lumOff val="35000"/>
                  </a:schemeClr>
                </a:solidFill>
                <a:latin typeface="+mn-lt"/>
                <a:ea typeface="+mn-ea"/>
                <a:cs typeface="+mn-cs"/>
              </a:defRPr>
            </a:pPr>
            <a:endParaRPr lang="ja-JP" altLang="en-US"/>
          </a:p>
        </c:txPr>
        <c:crossAx val="1"/>
        <c:crosses val="autoZero"/>
        <c:crossBetween val="between"/>
      </c:valAx>
      <c:catAx>
        <c:axId val="11"/>
        <c:scaling>
          <c:orientation val="minMax"/>
        </c:scaling>
        <c:delete val="1"/>
        <c:axPos val="b"/>
        <c:numFmt formatCode="General" sourceLinked="1"/>
        <c:majorTickMark val="none"/>
        <c:minorTickMark val="none"/>
        <c:tickLblPos val="nextTo"/>
        <c:txPr>
          <a:bodyPr horzOverflow="overflow" anchor="ctr" anchorCtr="1"/>
          <a:lstStyle/>
          <a:p>
            <a:pPr algn="ctr" rtl="0">
              <a:defRPr sz="1000">
                <a:solidFill>
                  <a:schemeClr val="tx1"/>
                </a:solidFill>
              </a:defRPr>
            </a:pPr>
            <a:endParaRPr lang="ja-JP" altLang="en-US"/>
          </a:p>
        </c:txPr>
        <c:crossAx val="12"/>
        <c:crosses val="autoZero"/>
        <c:auto val="1"/>
        <c:lblAlgn val="ctr"/>
        <c:lblOffset val="100"/>
        <c:noMultiLvlLbl val="0"/>
      </c:catAx>
      <c:valAx>
        <c:axId val="12"/>
        <c:scaling>
          <c:orientation val="minMax"/>
        </c:scaling>
        <c:delete val="0"/>
        <c:axPos val="r"/>
        <c:title>
          <c:tx>
            <c:rich>
              <a:bodyPr horzOverflow="overflow" vert="eaVert" wrap="square" anchor="ctr" anchorCtr="1"/>
              <a:lstStyle/>
              <a:p>
                <a:pPr algn="ctr" rtl="0">
                  <a:defRPr kumimoji="0" sz="1400" b="0" i="0" u="none" strike="noStrike" kern="1200" baseline="0">
                    <a:solidFill>
                      <a:schemeClr val="tx1">
                        <a:lumMod val="65000"/>
                        <a:lumOff val="35000"/>
                      </a:schemeClr>
                    </a:solidFill>
                    <a:latin typeface="+mn-lt"/>
                    <a:ea typeface="+mn-ea"/>
                    <a:cs typeface="+mn-cs"/>
                  </a:defRPr>
                </a:pPr>
                <a:r>
                  <a:rPr kumimoji="0" lang="ja-JP" altLang="en-US" sz="1400" b="0" i="0" u="none" strike="noStrike" kern="1200" baseline="0">
                    <a:solidFill>
                      <a:schemeClr val="tx1">
                        <a:lumMod val="65000"/>
                        <a:lumOff val="35000"/>
                      </a:schemeClr>
                    </a:solidFill>
                    <a:latin typeface="+mn-lt"/>
                    <a:ea typeface="+mj-ea"/>
                    <a:cs typeface="+mn-cs"/>
                  </a:rPr>
                  <a:t>看取り</a:t>
                </a:r>
                <a:endParaRPr kumimoji="0" lang="ja-JP" altLang="en-US" sz="1400" b="0" i="0" u="none" strike="noStrike" kern="1200" baseline="0">
                  <a:solidFill>
                    <a:schemeClr val="tx1">
                      <a:lumMod val="65000"/>
                      <a:lumOff val="35000"/>
                    </a:schemeClr>
                  </a:solidFill>
                  <a:latin typeface="+mn-lt"/>
                  <a:ea typeface="+mn-ea"/>
                  <a:cs typeface="+mn-cs"/>
                </a:endParaRPr>
              </a:p>
            </c:rich>
          </c:tx>
          <c:layout>
            <c:manualLayout>
              <c:xMode val="edge"/>
              <c:yMode val="edge"/>
              <c:x val="0.93597033974038291"/>
              <c:y val="0.2999956432963401"/>
            </c:manualLayout>
          </c:layout>
          <c:overlay val="0"/>
          <c:spPr>
            <a:noFill/>
            <a:ln>
              <a:noFill/>
            </a:ln>
            <a:effectLst/>
          </c:spPr>
        </c:title>
        <c:numFmt formatCode="General" sourceLinked="1"/>
        <c:majorTickMark val="none"/>
        <c:minorTickMark val="none"/>
        <c:tickLblPos val="nextTo"/>
        <c:spPr>
          <a:noFill/>
          <a:ln>
            <a:noFill/>
          </a:ln>
          <a:effectLst/>
        </c:spPr>
        <c:txPr>
          <a:bodyPr horzOverflow="overflow" wrap="square" anchor="ctr" anchorCtr="1"/>
          <a:lstStyle/>
          <a:p>
            <a:pPr algn="ctr" rtl="0">
              <a:defRPr sz="1200" b="1" i="0" u="none" strike="noStrike" kern="1200" baseline="0">
                <a:solidFill>
                  <a:schemeClr val="tx1">
                    <a:lumMod val="65000"/>
                    <a:lumOff val="35000"/>
                  </a:schemeClr>
                </a:solidFill>
                <a:latin typeface="+mn-lt"/>
                <a:ea typeface="+mn-ea"/>
                <a:cs typeface="+mn-cs"/>
              </a:defRPr>
            </a:pPr>
            <a:endParaRPr lang="ja-JP" altLang="en-US"/>
          </a:p>
        </c:txPr>
        <c:crossAx val="11"/>
        <c:crosses val="max"/>
        <c:crossBetween val="between"/>
      </c:valAx>
      <c:spPr>
        <a:noFill/>
        <a:ln>
          <a:noFill/>
        </a:ln>
        <a:effectLst/>
      </c:spPr>
    </c:plotArea>
    <c:legend>
      <c:legendPos val="b"/>
      <c:layout/>
      <c:overlay val="0"/>
      <c:spPr>
        <a:noFill/>
        <a:ln>
          <a:noFill/>
        </a:ln>
        <a:effectLst/>
      </c:spPr>
      <c:txPr>
        <a:bodyPr rot="0" horzOverflow="overflow" wrap="square" anchor="ctr" anchorCtr="1"/>
        <a:lstStyle/>
        <a:p>
          <a:pPr algn="l" rtl="0">
            <a:defRPr kumimoji="0" sz="1400" b="0" i="0" u="none" strike="noStrike" kern="1200" baseline="0">
              <a:solidFill>
                <a:schemeClr val="tx1">
                  <a:lumMod val="65000"/>
                  <a:lumOff val="35000"/>
                </a:schemeClr>
              </a:solidFill>
              <a:latin typeface="+mn-lt"/>
              <a:ea typeface="+mj-ea"/>
              <a:cs typeface="+mn-cs"/>
            </a:defRPr>
          </a:pPr>
          <a:endParaRPr lang="ja-JP" altLang="en-US"/>
        </a:p>
      </c:txPr>
    </c:legend>
    <c:plotVisOnly val="1"/>
    <c:dispBlanksAs val="gap"/>
    <c:showDLblsOverMax val="0"/>
  </c:chart>
  <c:spPr>
    <a:solidFill>
      <a:schemeClr val="bg1"/>
    </a:solidFill>
    <a:ln w="6350" cap="flat" cmpd="sng" algn="ctr">
      <a:solidFill>
        <a:schemeClr val="tx1"/>
      </a:solidFill>
      <a:round/>
    </a:ln>
    <a:effectLst/>
  </c:spPr>
  <c:txPr>
    <a:bodyPr horzOverflow="overflow" anchor="ctr" anchorCtr="1"/>
    <a:lstStyle/>
    <a:p>
      <a:pPr algn="ctr" rtl="0">
        <a:defRPr lang="ja-JP" altLang="en-US" sz="1000">
          <a:solidFill>
            <a:schemeClr val="tx1"/>
          </a:solidFill>
        </a:defRPr>
      </a:pPr>
      <a:endParaRPr lang="ja-JP" altLang="en-US"/>
    </a:p>
  </c:txPr>
  <c:externalData r:id="rId1">
    <c:autoUpdate val="0"/>
  </c:externalData>
  <c:extLst>
    <c:ext xmlns:c14="http://schemas.microsoft.com/office/drawing/2007/8/2/chart" uri="{781A3756-C4B2-4CAC-9D66-4F8BD8637D16}"/>
  </c:extLst>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Override>
</file>

<file path=docProps/app.xml><?xml version="1.0" encoding="utf-8"?>
<Properties xmlns:vt="http://schemas.openxmlformats.org/officeDocument/2006/docPropsVTypes" xmlns="http://schemas.openxmlformats.org/officeDocument/2006/extended-properties">
  <Template>Normal.dot</Template>
  <TotalTime>585</TotalTime>
  <Pages>1</Pages>
  <Words>2</Words>
  <Characters>598</Characters>
  <Application>Microsoft Office Word</Application>
  <Lines>40</Lines>
  <Paragraphs>7</Paragraphs>
  <CharactersWithSpaces>604</CharactersWithSpaces>
  <AppVersion>1.20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既定</dc:creator>
  <cp:lastModifiedBy>ZAI1123004</cp:lastModifiedBy>
  <cp:lastPrinted>2026-06-09T06:40:44Z</cp:lastPrinted>
  <dcterms:created xsi:type="dcterms:W3CDTF">2019-02-04T13:22:00Z</dcterms:created>
  <dcterms:modified xsi:type="dcterms:W3CDTF">2026-06-09T07:37:31Z</dcterms:modified>
  <cp:revision>15</cp:revision>
</cp:coreProperties>
</file>